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12" w:rsidRPr="009653C3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/>
          <w:sz w:val="21"/>
          <w:szCs w:val="21"/>
          <w:lang w:val="en-GB"/>
        </w:rPr>
        <w:t xml:space="preserve">Canada (HIEM Energy LLP) </w:t>
      </w:r>
    </w:p>
    <w:p w:rsidR="00436512" w:rsidRPr="009C07F9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/>
          <w:sz w:val="21"/>
          <w:szCs w:val="21"/>
          <w:lang w:val="en-GB"/>
        </w:rPr>
        <w:t xml:space="preserve">Planning new Energy Management Firm (Burnaby,),          June 2023 – Present. 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Business Coaching and stablishing a new electrical engineering and energy management business firm: The website, business model, business plan, structure etc.</w:t>
      </w:r>
    </w:p>
    <w:p w:rsidR="00436512" w:rsidRDefault="00436512" w:rsidP="00436512">
      <w:pPr>
        <w:pStyle w:val="BodyText"/>
        <w:spacing w:before="360"/>
        <w:contextualSpacing/>
        <w:rPr>
          <w:rFonts w:ascii="Segoe UI" w:hAnsi="Segoe UI" w:cs="Segoe UI"/>
          <w:b/>
          <w:bCs/>
          <w:shd w:val="clear" w:color="auto" w:fill="FFFFFF"/>
          <w:lang w:val="en-GB"/>
        </w:rPr>
      </w:pPr>
    </w:p>
    <w:p w:rsidR="00436512" w:rsidRPr="009C07F9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/>
          <w:sz w:val="21"/>
          <w:szCs w:val="21"/>
          <w:lang w:val="en-GB"/>
        </w:rPr>
        <w:t>Canada, Burnaby, Lex. Engineering LTD (Canada) 2023 Sr. Electrical Specialist</w:t>
      </w:r>
      <w:r w:rsidRPr="009C07F9">
        <w:rPr>
          <w:rFonts w:asciiTheme="minorHAnsi" w:hAnsiTheme="minorHAnsi" w:cstheme="minorHAnsi"/>
          <w:sz w:val="21"/>
          <w:szCs w:val="21"/>
          <w:lang w:val="en-GB"/>
        </w:rPr>
        <w:t xml:space="preserve"> –Projects based </w:t>
      </w:r>
    </w:p>
    <w:p w:rsidR="00436512" w:rsidRDefault="00436512" w:rsidP="00436512">
      <w:pPr>
        <w:pStyle w:val="BodyText"/>
        <w:spacing w:before="360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Engineering consultancy, power systems design, equipment specifications, technical support for the projects: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Pumped Storage Project 220-880MW, Alberta, Canada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Voltage &amp; Current Harmonics Measurement and Analysis, Metro Vancouver, compliance with Standard IEEE519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Neptune Terminals Potash Project electrical network upgrade, North Vancouver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Capilano University, electrical network upgrade </w:t>
      </w:r>
    </w:p>
    <w:p w:rsidR="00436512" w:rsidRPr="00DC2036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sz w:val="21"/>
          <w:szCs w:val="21"/>
        </w:rPr>
      </w:pPr>
    </w:p>
    <w:p w:rsidR="00436512" w:rsidRPr="00436512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sz w:val="21"/>
          <w:szCs w:val="21"/>
          <w:lang w:val="en-GB"/>
        </w:rPr>
      </w:pPr>
      <w:r w:rsidRPr="00DC2036">
        <w:rPr>
          <w:rFonts w:asciiTheme="minorHAnsi" w:hAnsiTheme="minorHAnsi" w:cstheme="minorHAnsi"/>
          <w:b/>
          <w:sz w:val="21"/>
          <w:szCs w:val="21"/>
          <w:lang w:val="en-GB"/>
        </w:rPr>
        <w:t xml:space="preserve">Germany, and Remote from Canada, FICHTNER Engineering &amp; Consulting GmbH &amp; Co. KG. </w:t>
      </w:r>
      <w:r w:rsidRPr="00DC2036">
        <w:rPr>
          <w:rFonts w:asciiTheme="minorHAnsi" w:hAnsiTheme="minorHAnsi" w:cstheme="minorHAnsi"/>
          <w:bCs/>
          <w:sz w:val="21"/>
          <w:szCs w:val="21"/>
          <w:lang w:val="en-GB"/>
        </w:rPr>
        <w:t>2022 – 2023</w:t>
      </w:r>
    </w:p>
    <w:p w:rsidR="00436512" w:rsidRPr="00807F34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>FICHTNER Engineering &amp; Consulting GmbH &amp; Co. KG. (Germany, Remote from Canada)</w:t>
      </w:r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ab/>
        <w:t xml:space="preserve"> March 2022 –March 2023</w:t>
      </w:r>
    </w:p>
    <w:p w:rsidR="00436512" w:rsidRPr="00807F34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DC2036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>Sr. Project Manager Freelance (Energy Specialist) Mar 2022 – March 2023, Greater Vancouver, BC, Canada</w:t>
      </w:r>
    </w:p>
    <w:p w:rsidR="00436512" w:rsidRPr="00807F34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Electric grid code development, protection </w:t>
      </w:r>
      <w:r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and control </w:t>
      </w:r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>concepts &amp; philosophy for a new mega city</w:t>
      </w:r>
    </w:p>
    <w:p w:rsidR="00436512" w:rsidRPr="00807F34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DC2036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>
        <w:rPr>
          <w:rFonts w:ascii="Segoe UI" w:hAnsi="Segoe UI" w:cs="Segoe UI"/>
          <w:sz w:val="21"/>
          <w:szCs w:val="21"/>
          <w:shd w:val="clear" w:color="auto" w:fill="FFFFFF"/>
        </w:rPr>
        <w:t>P</w:t>
      </w:r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roject Manager (Energy Studies) Sep 2022 - Dec </w:t>
      </w:r>
      <w:proofErr w:type="gramStart"/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>2022 ,</w:t>
      </w:r>
      <w:proofErr w:type="gramEnd"/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Stuttgart, Baden-Württemberg, Germany</w:t>
      </w:r>
    </w:p>
    <w:p w:rsidR="00436512" w:rsidRPr="00DC2036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bCs/>
          <w:sz w:val="21"/>
          <w:szCs w:val="21"/>
        </w:rPr>
      </w:pPr>
      <w:r w:rsidRPr="00807F34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Electrical system projects &amp; studies (network modelling, analysis, stability studies on HVAC, HVDC, FACTs, BESS, Renewable energy), projects management. Worked in the design and development of NEOM project (Saudi Arabia), </w:t>
      </w:r>
      <w:r w:rsidRPr="00DC2036">
        <w:rPr>
          <w:rFonts w:asciiTheme="minorHAnsi" w:hAnsiTheme="minorHAnsi" w:cstheme="minorHAnsi"/>
          <w:bCs/>
          <w:sz w:val="21"/>
          <w:szCs w:val="21"/>
        </w:rPr>
        <w:t>hybrid (ac and dc network). Key work orders with NEOM.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Electrical studies on transmission networks using PSSE and </w:t>
      </w: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DigSilent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Development of Grid Code for generation, transmission and distribution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Network Protection concept and philosophy development  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Fault level analysis for integrated HVDC and AC transmission network, using PSCAD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Fault level analysis for integrated BESS and AC transmission network, using PSCAD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Technical &amp; commercial proposals for new global engineering bids 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- Feasibility studies development and review</w:t>
      </w:r>
    </w:p>
    <w:p w:rsidR="00436512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</w:pPr>
    </w:p>
    <w:p w:rsidR="00436512" w:rsidRPr="00DC2036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Canada, Independent Consultant, Freelancer </w:t>
      </w: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ab/>
        <w:t xml:space="preserve"> </w:t>
      </w: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ab/>
      </w: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ab/>
      </w: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ab/>
      </w: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ab/>
      </w:r>
      <w:r>
        <w:rPr>
          <w:rFonts w:asciiTheme="minorHAnsi" w:hAnsiTheme="minorHAnsi" w:cstheme="minorHAnsi"/>
          <w:bCs/>
          <w:color w:val="000000"/>
          <w:sz w:val="21"/>
          <w:szCs w:val="21"/>
          <w:lang w:val="en-GB"/>
        </w:rPr>
        <w:t xml:space="preserve"> 2019 – 2022</w:t>
      </w:r>
    </w:p>
    <w:p w:rsidR="00436512" w:rsidRPr="009C07F9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9C07F9">
        <w:rPr>
          <w:rFonts w:ascii="Segoe UI" w:hAnsi="Segoe UI" w:cs="Segoe UI"/>
          <w:sz w:val="21"/>
          <w:szCs w:val="21"/>
          <w:shd w:val="clear" w:color="auto" w:fill="FFFFFF"/>
        </w:rPr>
        <w:t xml:space="preserve">Sudanese Electricity Transmission Company (SETCO), Sudan/ Key Studies.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</w:t>
      </w: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Sudan-Egypt Interconnection Project, SETCO 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</w:t>
      </w: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STATCOM Specification Guidelines, SETCO.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</w:t>
      </w: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Scope for Transmission Operation and Planning Studies, SETCO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- </w:t>
      </w: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Scope for Feasibility study for Expansion and Interconnection “Techno Economic Analysis, SETCO.</w:t>
      </w: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9C07F9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>Qatar National Research Fund (QNRF).</w:t>
      </w:r>
      <w:r w:rsidRPr="00DC2036">
        <w:rPr>
          <w:rFonts w:ascii="Segoe UI" w:hAnsi="Segoe UI" w:cs="Segoe UI"/>
          <w:sz w:val="21"/>
          <w:szCs w:val="21"/>
          <w:shd w:val="clear" w:color="auto" w:fill="FFFFFF"/>
        </w:rPr>
        <w:t xml:space="preserve"> Contribution as a peer reviewer</w:t>
      </w:r>
      <w:r>
        <w:rPr>
          <w:rFonts w:ascii="Segoe UI" w:hAnsi="Segoe UI" w:cs="Segoe UI"/>
          <w:sz w:val="21"/>
          <w:szCs w:val="21"/>
          <w:shd w:val="clear" w:color="auto" w:fill="FFFFFF"/>
        </w:rPr>
        <w:t>, 2020. Reviewing the aligned students’ engineering</w:t>
      </w:r>
      <w:r w:rsidRPr="00111A11">
        <w:rPr>
          <w:rFonts w:ascii="Segoe UI" w:hAnsi="Segoe UI" w:cs="Segoe UI"/>
          <w:sz w:val="21"/>
          <w:szCs w:val="21"/>
          <w:shd w:val="clear" w:color="auto" w:fill="FFFFFF"/>
        </w:rPr>
        <w:t xml:space="preserve"> research proposals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on long-term part-time annual assignment collaboration since the year 2012. </w:t>
      </w:r>
      <w:bookmarkStart w:id="0" w:name="_GoBack"/>
      <w:bookmarkEnd w:id="0"/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436512" w:rsidRPr="009C07F9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>Amazon</w:t>
      </w: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-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Canada Fulfillment Service, Delta BC Facility and Safety Committee - 2021 – March 2022 </w:t>
      </w: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9C07F9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>Canada Varsity Tutors LLC (USA),</w:t>
      </w:r>
      <w:r w:rsidRPr="009C07F9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Pr="009C07F9">
        <w:rPr>
          <w:rFonts w:ascii="Helvetica" w:hAnsi="Helvetica"/>
          <w:color w:val="393939"/>
          <w:shd w:val="clear" w:color="auto" w:fill="FFFFFF"/>
        </w:rPr>
        <w:t>Northstar</w:t>
      </w:r>
      <w:proofErr w:type="spellEnd"/>
      <w:r w:rsidRPr="009C07F9">
        <w:rPr>
          <w:rFonts w:ascii="Helvetica" w:hAnsi="Helvetica"/>
          <w:color w:val="393939"/>
          <w:shd w:val="clear" w:color="auto" w:fill="FFFFFF"/>
        </w:rPr>
        <w:t xml:space="preserve"> Educational Technologies LLC (Canada)</w:t>
      </w:r>
      <w:r>
        <w:rPr>
          <w:rFonts w:ascii="Helvetica" w:hAnsi="Helvetica"/>
          <w:b/>
          <w:bCs/>
          <w:color w:val="393939"/>
          <w:shd w:val="clear" w:color="auto" w:fill="FFFFFF"/>
        </w:rPr>
        <w:t>.</w:t>
      </w:r>
      <w:r>
        <w:rPr>
          <w:rFonts w:ascii="Helvetica" w:hAnsi="Helvetica"/>
          <w:color w:val="393939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2021 – 2022. </w:t>
      </w:r>
      <w:r w:rsidRPr="003378B0">
        <w:rPr>
          <w:rFonts w:ascii="Segoe UI" w:hAnsi="Segoe UI" w:cs="Segoe UI"/>
          <w:sz w:val="21"/>
          <w:szCs w:val="21"/>
          <w:shd w:val="clear" w:color="auto" w:fill="FFFFFF"/>
        </w:rPr>
        <w:t>Independent Contractor Agreement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(Tutor), Online Tutor for electrical engineering students and graduates, to</w:t>
      </w:r>
      <w:r w:rsidRPr="003378B0">
        <w:rPr>
          <w:rFonts w:ascii="Segoe UI" w:hAnsi="Segoe UI" w:cs="Segoe UI"/>
          <w:sz w:val="21"/>
          <w:szCs w:val="21"/>
          <w:shd w:val="clear" w:color="auto" w:fill="FFFFFF"/>
        </w:rPr>
        <w:t xml:space="preserve"> accelerating ac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ademic achievement for students. </w:t>
      </w:r>
    </w:p>
    <w:p w:rsidR="00436512" w:rsidRPr="00FB0986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proofErr w:type="spellStart"/>
      <w:r w:rsidRPr="009C07F9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lastRenderedPageBreak/>
        <w:t>Waira</w:t>
      </w:r>
      <w:proofErr w:type="spellEnd"/>
      <w:r w:rsidRPr="009C07F9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 Engineering Group (online Canada),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</w:t>
      </w:r>
      <w:r w:rsidRPr="00FB0986">
        <w:rPr>
          <w:rFonts w:ascii="Segoe UI" w:hAnsi="Segoe UI" w:cs="Segoe UI"/>
          <w:sz w:val="21"/>
          <w:szCs w:val="21"/>
          <w:shd w:val="clear" w:color="auto" w:fill="FFFFFF"/>
        </w:rPr>
        <w:t>Chief Technology Officer (CTO)</w:t>
      </w:r>
      <w:r>
        <w:rPr>
          <w:rFonts w:ascii="Segoe UI" w:hAnsi="Segoe UI" w:cs="Segoe UI"/>
          <w:sz w:val="21"/>
          <w:szCs w:val="21"/>
          <w:shd w:val="clear" w:color="auto" w:fill="FFFFFF"/>
        </w:rPr>
        <w:t>, 2020 – 2021. Managing business development activities, coaching, bid proposals preparation and submission, financial invoicing, budgeting on the technology, IT, renewables (solar, wind, batteries, invertors).</w:t>
      </w:r>
    </w:p>
    <w:p w:rsidR="00436512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b/>
          <w:sz w:val="21"/>
          <w:szCs w:val="21"/>
          <w:lang w:val="en-GB"/>
        </w:rPr>
      </w:pPr>
    </w:p>
    <w:p w:rsidR="00436512" w:rsidRPr="009C07F9" w:rsidRDefault="00436512" w:rsidP="00436512">
      <w:pPr>
        <w:pStyle w:val="BodyText"/>
        <w:spacing w:before="240"/>
        <w:contextualSpacing/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</w:pPr>
      <w:r>
        <w:rPr>
          <w:rFonts w:asciiTheme="minorHAnsi" w:hAnsiTheme="minorHAnsi" w:cstheme="minorHAnsi"/>
          <w:b/>
          <w:sz w:val="21"/>
          <w:szCs w:val="21"/>
          <w:lang w:val="en-GB"/>
        </w:rPr>
        <w:t xml:space="preserve">Saudi Arabia: Gulf Cooperation Council </w:t>
      </w:r>
      <w:r w:rsidRPr="00D03A0A">
        <w:rPr>
          <w:rFonts w:asciiTheme="minorHAnsi" w:hAnsiTheme="minorHAnsi" w:cstheme="minorHAnsi"/>
          <w:b/>
          <w:sz w:val="21"/>
          <w:szCs w:val="21"/>
          <w:lang w:val="en-GB"/>
        </w:rPr>
        <w:t>Interconnection</w:t>
      </w:r>
      <w:r>
        <w:rPr>
          <w:rFonts w:asciiTheme="minorHAnsi" w:hAnsiTheme="minorHAnsi" w:cstheme="minorHAnsi"/>
          <w:b/>
          <w:sz w:val="21"/>
          <w:szCs w:val="21"/>
          <w:lang w:val="en-GB"/>
        </w:rPr>
        <w:t xml:space="preserve"> Authority </w:t>
      </w:r>
      <w:r w:rsidRPr="00D03A0A">
        <w:rPr>
          <w:rFonts w:asciiTheme="minorHAnsi" w:hAnsiTheme="minorHAnsi" w:cstheme="minorHAnsi"/>
          <w:b/>
          <w:sz w:val="21"/>
          <w:szCs w:val="21"/>
          <w:lang w:val="en-GB"/>
        </w:rPr>
        <w:t xml:space="preserve">Control </w:t>
      </w:r>
      <w:proofErr w:type="spellStart"/>
      <w:r w:rsidRPr="00D03A0A">
        <w:rPr>
          <w:rFonts w:asciiTheme="minorHAnsi" w:hAnsiTheme="minorHAnsi" w:cstheme="minorHAnsi"/>
          <w:b/>
          <w:sz w:val="21"/>
          <w:szCs w:val="21"/>
          <w:lang w:val="en-GB"/>
        </w:rPr>
        <w:t>Center</w:t>
      </w:r>
      <w:proofErr w:type="spellEnd"/>
      <w:proofErr w:type="gramStart"/>
      <w:r w:rsidRPr="009C07F9"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>,</w:t>
      </w:r>
      <w:r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 </w:t>
      </w:r>
      <w:r w:rsidRPr="002E279D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2014</w:t>
      </w:r>
      <w:proofErr w:type="gramEnd"/>
      <w:r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 w:rsidRPr="002E279D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–</w:t>
      </w:r>
      <w:r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2019</w:t>
      </w:r>
    </w:p>
    <w:p w:rsidR="00436512" w:rsidRPr="007F304E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color w:val="000000"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Managed </w:t>
      </w:r>
      <w:r w:rsidRPr="005B527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the operation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planning, outages and </w:t>
      </w:r>
      <w:r w:rsidRPr="000F43BF">
        <w:rPr>
          <w:rFonts w:asciiTheme="minorHAnsi" w:hAnsiTheme="minorHAnsi" w:cstheme="minorHAnsi"/>
          <w:bCs/>
          <w:sz w:val="21"/>
          <w:szCs w:val="21"/>
          <w:lang w:val="en-GB"/>
        </w:rPr>
        <w:t>annual maintenance plan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r w:rsidRPr="005B527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of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400 kV GCC transmission Interconnector assets and HVDC (</w:t>
      </w:r>
      <w:r w:rsidRPr="005B5273">
        <w:rPr>
          <w:rFonts w:asciiTheme="minorHAnsi" w:hAnsiTheme="minorHAnsi" w:cstheme="minorHAnsi"/>
          <w:bCs/>
          <w:sz w:val="21"/>
          <w:szCs w:val="21"/>
          <w:lang w:val="en-GB"/>
        </w:rPr>
        <w:t>Frequency Control and the Dynamic Reserve Power Sharing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functions), </w:t>
      </w:r>
      <w:r w:rsidRPr="000F43BF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to provide quality </w:t>
      </w:r>
      <w:r w:rsidRPr="000F43BF">
        <w:rPr>
          <w:rFonts w:asciiTheme="minorHAnsi" w:hAnsiTheme="minorHAnsi" w:cstheme="minorHAnsi"/>
          <w:bCs/>
          <w:sz w:val="21"/>
          <w:szCs w:val="21"/>
        </w:rPr>
        <w:t>services within available resources.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D</w:t>
      </w:r>
      <w:r w:rsidRPr="000F43BF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eliver technical expertise for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conducting and </w:t>
      </w:r>
      <w:r w:rsidRPr="000F43BF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evaluating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2-year </w:t>
      </w:r>
      <w:r w:rsidRPr="000F43BF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systematic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transmission operational </w:t>
      </w:r>
      <w:r w:rsidRPr="000F43BF">
        <w:rPr>
          <w:rFonts w:asciiTheme="minorHAnsi" w:hAnsiTheme="minorHAnsi" w:cstheme="minorHAnsi"/>
          <w:bCs/>
          <w:sz w:val="21"/>
          <w:szCs w:val="21"/>
          <w:lang w:val="en-GB"/>
        </w:rPr>
        <w:t>studies.</w:t>
      </w:r>
      <w:r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 </w:t>
      </w:r>
      <w:r w:rsidRPr="007F304E">
        <w:rPr>
          <w:rFonts w:asciiTheme="minorHAnsi" w:hAnsiTheme="minorHAnsi" w:cstheme="minorHAnsi"/>
          <w:bCs/>
          <w:color w:val="000000"/>
          <w:sz w:val="21"/>
          <w:szCs w:val="20"/>
          <w:lang w:val="en-GB"/>
        </w:rPr>
        <w:t>Key Projects (KSA):</w:t>
      </w:r>
    </w:p>
    <w:p w:rsidR="00436512" w:rsidRDefault="00436512" w:rsidP="00436512">
      <w:pPr>
        <w:pStyle w:val="BodyText"/>
        <w:contextualSpacing/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  <w:lang w:val="en-GB"/>
        </w:rPr>
      </w:pP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Dynamic Reactive Power Compensation in EWA (Bahrain) Network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Iraq-Kuwait Interconnector Project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Digitalization of Energy Sector (Artificial Intelligence, Big Data, </w:t>
      </w:r>
      <w:proofErr w:type="spellStart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Blockchain</w:t>
      </w:r>
      <w:proofErr w:type="spellEnd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), GCCIA-ONS, GO-15 Joint Study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Transmission Operation Consultancy Services (GCCIA and MS) -2018/19.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Feasibility Study of the GCCIA Interconnector Expansion 2016/17.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GCCIA and MS Transmission Operation Consultancy Services for 2015-2017. Team Leader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Frequency Control Project for 50/60 Hz HVDC between KSA and GCC Member States. Project Leader (witnessed the RTDS FAT).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Transmission System Protection Study and Settings.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Wide Area Monitoring (WAMs) PMUs Operation and Upgrade.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Transmission Key Performance Indicators (KPIs) maintenance. Department KPI Champion (2014-2016)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Business Continuity Plan and Quality Management System Projects. </w:t>
      </w:r>
    </w:p>
    <w:p w:rsidR="00436512" w:rsidRPr="00F46A2F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F46A2F">
        <w:rPr>
          <w:rFonts w:asciiTheme="minorHAnsi" w:hAnsiTheme="minorHAnsi" w:cstheme="minorHAnsi"/>
          <w:bCs/>
          <w:sz w:val="21"/>
          <w:szCs w:val="21"/>
          <w:lang w:val="en-GB"/>
        </w:rPr>
        <w:t>Contributed to team efforts by accomplishing operational planning of the GCCIA, 400 kV network and the back-to back 50/60 Hz HVDC converters, generation scheduling, and units’ commitment in collaboration with the Operational Planning departments and Control Centres of the GCC Member States.</w:t>
      </w:r>
    </w:p>
    <w:p w:rsidR="00436512" w:rsidRPr="0007193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F46A2F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Led the team to deploy the Frequency Control Project for 50/60 Hz HVDC between KSA and GCC Member States. </w:t>
      </w:r>
    </w:p>
    <w:p w:rsidR="0043651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F46A2F">
        <w:rPr>
          <w:rFonts w:asciiTheme="minorHAnsi" w:hAnsiTheme="minorHAnsi" w:cstheme="minorHAnsi"/>
          <w:bCs/>
          <w:sz w:val="21"/>
          <w:szCs w:val="21"/>
          <w:lang w:val="en-GB"/>
        </w:rPr>
        <w:t>Study manager for GCCIA and MS Transmission Operation Consultancy Services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2016/17</w:t>
      </w:r>
      <w:r w:rsidRPr="00F46A2F">
        <w:rPr>
          <w:rFonts w:asciiTheme="minorHAnsi" w:hAnsiTheme="minorHAnsi" w:cstheme="minorHAnsi"/>
          <w:bCs/>
          <w:sz w:val="21"/>
          <w:szCs w:val="21"/>
          <w:lang w:val="en-GB"/>
        </w:rPr>
        <w:t>.</w:t>
      </w:r>
    </w:p>
    <w:p w:rsidR="0043651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Manager for </w:t>
      </w:r>
      <w:r w:rsidRPr="00F46A2F">
        <w:rPr>
          <w:rFonts w:asciiTheme="minorHAnsi" w:hAnsiTheme="minorHAnsi" w:cstheme="minorHAnsi"/>
          <w:bCs/>
          <w:sz w:val="21"/>
          <w:szCs w:val="21"/>
          <w:lang w:val="en-GB"/>
        </w:rPr>
        <w:t>Quality Management System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(ISO 9001:2015) Development and Implementation.</w:t>
      </w:r>
    </w:p>
    <w:p w:rsidR="00436512" w:rsidRPr="008911D5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Completed the feasibility study for the transmission network expansion and solar plant scenarios </w:t>
      </w:r>
    </w:p>
    <w:p w:rsidR="00436512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</w:pPr>
    </w:p>
    <w:p w:rsidR="00436512" w:rsidRPr="008B62E5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Qatar – Qatar General Electricity &amp; Water Cooperation </w:t>
      </w:r>
      <w:r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-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  <w:lang w:val="en-GB"/>
        </w:rPr>
        <w:t>Kahramaa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  <w:lang w:val="en-GB"/>
        </w:rPr>
        <w:t xml:space="preserve">, </w:t>
      </w:r>
      <w:r w:rsidRPr="000F6C29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2003–</w:t>
      </w:r>
      <w:r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 </w:t>
      </w:r>
      <w:r w:rsidRPr="000F6C29"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>2014</w:t>
      </w: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color w:val="000000"/>
          <w:sz w:val="21"/>
          <w:szCs w:val="20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Planning of </w:t>
      </w:r>
      <w:r w:rsidRPr="001F5B22">
        <w:rPr>
          <w:rFonts w:asciiTheme="minorHAnsi" w:hAnsiTheme="minorHAnsi" w:cstheme="minorHAnsi"/>
          <w:bCs/>
          <w:sz w:val="21"/>
          <w:szCs w:val="21"/>
          <w:lang w:val="en-GB"/>
        </w:rPr>
        <w:t>the transmi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ssion network expansion, generation integration, and the new </w:t>
      </w:r>
      <w:r w:rsidRPr="001F5B22">
        <w:rPr>
          <w:rFonts w:asciiTheme="minorHAnsi" w:hAnsiTheme="minorHAnsi" w:cstheme="minorHAnsi"/>
          <w:bCs/>
          <w:sz w:val="21"/>
          <w:szCs w:val="21"/>
          <w:lang w:val="en-GB"/>
        </w:rPr>
        <w:t>connection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s</w:t>
      </w:r>
      <w:r w:rsidRPr="001F5B22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demand </w:t>
      </w:r>
      <w:r w:rsidRPr="001F5B22">
        <w:rPr>
          <w:rFonts w:asciiTheme="minorHAnsi" w:hAnsiTheme="minorHAnsi" w:cstheme="minorHAnsi"/>
          <w:bCs/>
          <w:sz w:val="21"/>
          <w:szCs w:val="21"/>
          <w:lang w:val="en-GB"/>
        </w:rPr>
        <w:t>to domestic, comme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rcial and </w:t>
      </w:r>
      <w:r w:rsidRPr="00EE6F1D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industrial customers. Independently performed </w:t>
      </w:r>
      <w:r w:rsidRPr="00EE6F1D">
        <w:rPr>
          <w:rFonts w:asciiTheme="minorHAnsi" w:hAnsiTheme="minorHAnsi" w:cstheme="minorHAnsi"/>
          <w:bCs/>
          <w:sz w:val="21"/>
          <w:szCs w:val="21"/>
        </w:rPr>
        <w:t xml:space="preserve">transmission </w:t>
      </w:r>
      <w:r>
        <w:rPr>
          <w:rFonts w:asciiTheme="minorHAnsi" w:hAnsiTheme="minorHAnsi" w:cstheme="minorHAnsi"/>
          <w:bCs/>
          <w:sz w:val="21"/>
          <w:szCs w:val="21"/>
        </w:rPr>
        <w:t>systems</w:t>
      </w:r>
      <w:r w:rsidRPr="00EE6F1D">
        <w:rPr>
          <w:rFonts w:asciiTheme="minorHAnsi" w:hAnsiTheme="minorHAnsi" w:cstheme="minorHAnsi"/>
          <w:bCs/>
          <w:sz w:val="21"/>
          <w:szCs w:val="21"/>
        </w:rPr>
        <w:t xml:space="preserve"> engineering work and ensure</w:t>
      </w:r>
      <w:r>
        <w:rPr>
          <w:rFonts w:asciiTheme="minorHAnsi" w:hAnsiTheme="minorHAnsi" w:cstheme="minorHAnsi"/>
          <w:bCs/>
          <w:sz w:val="21"/>
          <w:szCs w:val="21"/>
        </w:rPr>
        <w:t>d that studies, plans</w:t>
      </w:r>
      <w:r w:rsidRPr="00EE6F1D"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</w:rPr>
        <w:t xml:space="preserve">and demand forecast </w:t>
      </w:r>
      <w:r w:rsidRPr="00EE6F1D">
        <w:rPr>
          <w:rFonts w:asciiTheme="minorHAnsi" w:hAnsiTheme="minorHAnsi" w:cstheme="minorHAnsi"/>
          <w:bCs/>
          <w:sz w:val="21"/>
          <w:szCs w:val="21"/>
        </w:rPr>
        <w:t>meet quality objectives.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436512" w:rsidRPr="009C07F9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sz w:val="21"/>
          <w:szCs w:val="20"/>
          <w:lang w:val="en-GB"/>
        </w:rPr>
      </w:pPr>
      <w:r w:rsidRPr="009C07F9">
        <w:rPr>
          <w:rFonts w:asciiTheme="minorHAnsi" w:hAnsiTheme="minorHAnsi" w:cstheme="minorHAnsi"/>
          <w:b/>
          <w:sz w:val="21"/>
          <w:szCs w:val="20"/>
          <w:lang w:val="en-GB"/>
        </w:rPr>
        <w:t>Key Projects &amp; Contributions: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5-years transmission functional network development plans and studies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5-years transmission demand forecast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Connection of </w:t>
      </w:r>
      <w:proofErr w:type="spellStart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Ras</w:t>
      </w:r>
      <w:proofErr w:type="spellEnd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proofErr w:type="spellStart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Girtas</w:t>
      </w:r>
      <w:proofErr w:type="spellEnd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Power Company Ltd-RGPC IWPP Plant (2700 MW, 63 MIGD).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Connection of </w:t>
      </w:r>
      <w:proofErr w:type="spellStart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Mesaieed</w:t>
      </w:r>
      <w:proofErr w:type="spellEnd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Power Company Ltd- MPCL &amp; RAF-B2, IPP, IWPP Plants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Generation Forecast advisory group and stakeholders with Corporate Planning &amp; Business Development Dept.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Utilities Interface Agreements Committee for </w:t>
      </w:r>
      <w:proofErr w:type="spellStart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Kahramaa</w:t>
      </w:r>
      <w:proofErr w:type="spellEnd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, </w:t>
      </w:r>
      <w:proofErr w:type="spellStart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Ras</w:t>
      </w:r>
      <w:proofErr w:type="spellEnd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proofErr w:type="spellStart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Laffan</w:t>
      </w:r>
      <w:proofErr w:type="spellEnd"/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Industrial city, QP, Oil &amp; Gas. 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Performance Measurement Analysis and Benchmarking Study.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Team Leader &amp; Quality Management Representative. ISO 9001:2008, QMS.</w:t>
      </w:r>
    </w:p>
    <w:p w:rsidR="00436512" w:rsidRPr="009C07F9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C07F9">
        <w:rPr>
          <w:rFonts w:asciiTheme="minorHAnsi" w:hAnsiTheme="minorHAnsi" w:cstheme="minorHAnsi"/>
          <w:bCs/>
          <w:sz w:val="21"/>
          <w:szCs w:val="21"/>
          <w:lang w:val="en-GB"/>
        </w:rPr>
        <w:t>Asset Management Strategy &amp; Implementation Group Member.</w:t>
      </w:r>
    </w:p>
    <w:p w:rsidR="00436512" w:rsidRPr="008728DA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>Initiated</w:t>
      </w:r>
      <w:r w:rsidRPr="008728DA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in 2005, </w:t>
      </w:r>
      <w:r w:rsidRPr="008728DA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the concept of 400 kV network in Qatar Transmission System that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enhanced</w:t>
      </w:r>
      <w:r w:rsidRPr="008728DA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the steady state and dynamic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Operation</w:t>
      </w:r>
      <w:r w:rsidRPr="008728DA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. </w:t>
      </w:r>
    </w:p>
    <w:p w:rsidR="0043651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8728DA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Introduced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in 2012 a concept to connect</w:t>
      </w:r>
      <w:r w:rsidRPr="008728DA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solar panels and battery storage</w:t>
      </w:r>
      <w:r w:rsidRPr="008728DA">
        <w:rPr>
          <w:rFonts w:asciiTheme="minorHAnsi" w:hAnsiTheme="minorHAnsi" w:cstheme="minorHAnsi"/>
          <w:bCs/>
          <w:sz w:val="21"/>
          <w:szCs w:val="21"/>
          <w:lang w:val="en-GB"/>
        </w:rPr>
        <w:t>, in one substation.</w:t>
      </w:r>
    </w:p>
    <w:p w:rsidR="0043651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lastRenderedPageBreak/>
        <w:t xml:space="preserve">Led a team that Implemented and certified the Planning Dept. in ISO QMS (ISO 9001). </w:t>
      </w:r>
    </w:p>
    <w:p w:rsidR="00436512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</w:pPr>
    </w:p>
    <w:p w:rsidR="00436512" w:rsidRPr="009653C3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i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/>
          <w:sz w:val="21"/>
          <w:szCs w:val="21"/>
          <w:lang w:val="en-GB"/>
        </w:rPr>
        <w:t xml:space="preserve">UAE – Al-Ain Distribution Company </w:t>
      </w:r>
      <w:r w:rsidRPr="009653C3">
        <w:rPr>
          <w:rFonts w:asciiTheme="minorHAnsi" w:hAnsiTheme="minorHAnsi" w:cstheme="minorHAnsi"/>
          <w:iCs/>
          <w:sz w:val="21"/>
          <w:szCs w:val="21"/>
          <w:lang w:val="en-GB"/>
        </w:rPr>
        <w:t>-</w:t>
      </w:r>
      <w:r w:rsidRPr="009653C3">
        <w:rPr>
          <w:rFonts w:asciiTheme="minorHAnsi" w:hAnsiTheme="minorHAnsi" w:cstheme="minorHAnsi"/>
          <w:sz w:val="21"/>
          <w:szCs w:val="21"/>
          <w:lang w:val="en-GB"/>
        </w:rPr>
        <w:t xml:space="preserve">AADC,   </w:t>
      </w:r>
      <w:proofErr w:type="gramStart"/>
      <w:r w:rsidRPr="009653C3">
        <w:rPr>
          <w:rFonts w:asciiTheme="minorHAnsi" w:hAnsiTheme="minorHAnsi" w:cstheme="minorHAnsi"/>
          <w:sz w:val="21"/>
          <w:szCs w:val="21"/>
          <w:lang w:val="en-GB"/>
        </w:rPr>
        <w:t xml:space="preserve">UAE </w:t>
      </w:r>
      <w:r w:rsidRPr="009653C3">
        <w:rPr>
          <w:rFonts w:asciiTheme="minorHAnsi" w:hAnsiTheme="minorHAnsi" w:cstheme="minorHAnsi"/>
          <w:iCs/>
          <w:sz w:val="21"/>
          <w:szCs w:val="21"/>
          <w:lang w:val="en-GB"/>
        </w:rPr>
        <w:t xml:space="preserve"> 2000</w:t>
      </w:r>
      <w:proofErr w:type="gramEnd"/>
      <w:r w:rsidRPr="009653C3">
        <w:rPr>
          <w:rFonts w:asciiTheme="minorHAnsi" w:hAnsiTheme="minorHAnsi" w:cstheme="minorHAnsi"/>
          <w:iCs/>
          <w:sz w:val="21"/>
          <w:szCs w:val="21"/>
          <w:lang w:val="en-GB"/>
        </w:rPr>
        <w:t>–2003</w:t>
      </w: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>Strategic Planning and System Studies. Managed</w:t>
      </w:r>
      <w:r w:rsidRPr="00E74F42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the system short, medium and long term Master Plan incl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uding load forecast for different sectors, </w:t>
      </w:r>
      <w:r w:rsidRPr="00E74F42">
        <w:rPr>
          <w:rFonts w:asciiTheme="minorHAnsi" w:hAnsiTheme="minorHAnsi" w:cstheme="minorHAnsi"/>
          <w:bCs/>
          <w:sz w:val="21"/>
          <w:szCs w:val="21"/>
          <w:lang w:val="en-GB"/>
        </w:rPr>
        <w:t>p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ower network expansion, </w:t>
      </w:r>
      <w:r w:rsidRPr="00E74F42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planning criteria, network modelling, system studies, </w:t>
      </w:r>
      <w:proofErr w:type="spellStart"/>
      <w:r w:rsidRPr="00E74F42">
        <w:rPr>
          <w:rFonts w:asciiTheme="minorHAnsi" w:hAnsiTheme="minorHAnsi" w:cstheme="minorHAnsi"/>
          <w:bCs/>
          <w:sz w:val="21"/>
          <w:szCs w:val="21"/>
          <w:lang w:val="en-GB"/>
        </w:rPr>
        <w:t>MVAr</w:t>
      </w:r>
      <w:proofErr w:type="spellEnd"/>
      <w:r w:rsidRPr="00E74F42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compensation scheme.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Planned the distribution network expansion, to meet the projected 5-years demand.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5-years distribution master plan 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Transmission substations planning with the Transmission Company 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Distribution substations planning and reinforcement, 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Network Model development &amp; Load Despatch </w:t>
      </w: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Center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Project</w:t>
      </w:r>
    </w:p>
    <w:p w:rsidR="00436512" w:rsidRPr="009653C3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Factory Acceptance Testing (FAT)</w:t>
      </w:r>
    </w:p>
    <w:p w:rsidR="00436512" w:rsidRPr="00680699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b/>
          <w:sz w:val="21"/>
          <w:szCs w:val="20"/>
          <w:lang w:val="en-GB"/>
        </w:rPr>
      </w:pPr>
      <w:r w:rsidRPr="001F5B22"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  <w:t xml:space="preserve">Key </w:t>
      </w:r>
      <w:r w:rsidRPr="00680699">
        <w:rPr>
          <w:rFonts w:asciiTheme="minorHAnsi" w:hAnsiTheme="minorHAnsi" w:cstheme="minorHAnsi"/>
          <w:b/>
          <w:sz w:val="21"/>
          <w:szCs w:val="20"/>
          <w:lang w:val="en-GB"/>
        </w:rPr>
        <w:t>Accomplishments:</w:t>
      </w:r>
    </w:p>
    <w:p w:rsidR="00436512" w:rsidRPr="00341D75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Completed the distribution master plan </w:t>
      </w:r>
      <w:r w:rsidRPr="00F916D8">
        <w:rPr>
          <w:rFonts w:asciiTheme="minorHAnsi" w:hAnsiTheme="minorHAnsi" w:cstheme="minorHAnsi"/>
          <w:bCs/>
          <w:sz w:val="21"/>
          <w:szCs w:val="21"/>
        </w:rPr>
        <w:t>for the future development</w:t>
      </w:r>
      <w:r>
        <w:rPr>
          <w:rFonts w:asciiTheme="minorHAnsi" w:hAnsiTheme="minorHAnsi" w:cstheme="minorHAnsi"/>
          <w:bCs/>
          <w:sz w:val="21"/>
          <w:szCs w:val="21"/>
        </w:rPr>
        <w:t xml:space="preserve"> and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>reinforcing</w:t>
      </w:r>
      <w:r w:rsidRPr="00341D75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the distribution network.</w:t>
      </w:r>
    </w:p>
    <w:p w:rsidR="0043651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>Proposed criteria of new transmission substations</w:t>
      </w:r>
      <w:r w:rsidRPr="00B74B57">
        <w:rPr>
          <w:rFonts w:ascii="Arial" w:eastAsia="Calibri" w:hAnsi="Arial" w:cs="Arial"/>
          <w:color w:val="545454"/>
          <w:sz w:val="22"/>
          <w:szCs w:val="22"/>
          <w:shd w:val="clear" w:color="auto" w:fill="FFFFFF"/>
        </w:rPr>
        <w:t xml:space="preserve"> </w:t>
      </w:r>
      <w:r w:rsidRPr="00B74B57">
        <w:rPr>
          <w:rFonts w:asciiTheme="minorHAnsi" w:hAnsiTheme="minorHAnsi" w:cstheme="minorHAnsi"/>
          <w:bCs/>
          <w:sz w:val="21"/>
          <w:szCs w:val="21"/>
        </w:rPr>
        <w:t xml:space="preserve">to </w:t>
      </w:r>
      <w:r>
        <w:rPr>
          <w:rFonts w:asciiTheme="minorHAnsi" w:hAnsiTheme="minorHAnsi" w:cstheme="minorHAnsi"/>
          <w:bCs/>
          <w:sz w:val="21"/>
          <w:szCs w:val="21"/>
        </w:rPr>
        <w:t>meet future transmission &amp; distribution demands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43651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E7263C">
        <w:rPr>
          <w:rFonts w:asciiTheme="minorHAnsi" w:hAnsiTheme="minorHAnsi" w:cstheme="minorHAnsi"/>
          <w:bCs/>
          <w:sz w:val="21"/>
          <w:szCs w:val="21"/>
          <w:lang w:val="en-GB"/>
        </w:rPr>
        <w:t>Developed part of the transmission and distribution network models.</w:t>
      </w:r>
    </w:p>
    <w:p w:rsidR="00436512" w:rsidRDefault="00436512" w:rsidP="00436512">
      <w:pPr>
        <w:pStyle w:val="BodyText"/>
        <w:numPr>
          <w:ilvl w:val="0"/>
          <w:numId w:val="1"/>
        </w:numPr>
        <w:tabs>
          <w:tab w:val="right" w:pos="360"/>
        </w:tabs>
        <w:spacing w:before="60"/>
        <w:ind w:left="360" w:hanging="27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Implemented and certified the Asset Management Dept. in the </w:t>
      </w:r>
      <w:r w:rsidRPr="00F46A2F">
        <w:rPr>
          <w:rFonts w:asciiTheme="minorHAnsi" w:hAnsiTheme="minorHAnsi" w:cstheme="minorHAnsi"/>
          <w:bCs/>
          <w:sz w:val="21"/>
          <w:szCs w:val="21"/>
          <w:lang w:val="en-GB"/>
        </w:rPr>
        <w:t>Quality Management System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(ISO 9001)</w:t>
      </w:r>
    </w:p>
    <w:p w:rsidR="00436512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</w:pPr>
    </w:p>
    <w:p w:rsidR="00436512" w:rsidRDefault="00436512" w:rsidP="00436512">
      <w:pPr>
        <w:pStyle w:val="BodyText"/>
        <w:spacing w:before="360"/>
        <w:contextualSpacing/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UK, UAE – Mott </w:t>
      </w:r>
      <w:proofErr w:type="spellStart"/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>Macdonal</w:t>
      </w:r>
      <w:proofErr w:type="spellEnd"/>
      <w:r>
        <w:rPr>
          <w:rFonts w:asciiTheme="minorHAnsi" w:hAnsiTheme="minorHAnsi" w:cstheme="minorHAnsi"/>
          <w:b/>
          <w:color w:val="000000"/>
          <w:sz w:val="21"/>
          <w:szCs w:val="21"/>
          <w:lang w:val="en-GB"/>
        </w:rPr>
        <w:t xml:space="preserve"> Consulting (MML Group </w:t>
      </w:r>
      <w:r>
        <w:rPr>
          <w:rFonts w:asciiTheme="minorHAnsi" w:hAnsiTheme="minorHAnsi" w:cstheme="minorHAnsi"/>
          <w:iCs/>
          <w:color w:val="000000"/>
          <w:sz w:val="21"/>
          <w:szCs w:val="21"/>
          <w:lang w:val="en-GB"/>
        </w:rPr>
        <w:t xml:space="preserve">- 1993–2000. </w:t>
      </w:r>
    </w:p>
    <w:p w:rsidR="00436512" w:rsidRPr="002243E3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</w:pP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Responsible for the projects specification and design review at the </w:t>
      </w:r>
      <w:r w:rsidRPr="004C4CF9">
        <w:rPr>
          <w:rFonts w:asciiTheme="minorHAnsi" w:hAnsiTheme="minorHAnsi" w:cstheme="minorHAnsi"/>
          <w:bCs/>
          <w:sz w:val="21"/>
          <w:szCs w:val="21"/>
          <w:lang w:val="en-GB"/>
        </w:rPr>
        <w:t>Power Generation Division (1993-1996, UK)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and Managed site supervision of the substation projects</w:t>
      </w:r>
      <w:r w:rsidRPr="004C4CF9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  <w:lang w:val="en-GB"/>
        </w:rPr>
        <w:t xml:space="preserve">at the </w:t>
      </w:r>
      <w:r w:rsidRPr="004C4CF9">
        <w:rPr>
          <w:rFonts w:asciiTheme="minorHAnsi" w:hAnsiTheme="minorHAnsi" w:cstheme="minorHAnsi"/>
          <w:bCs/>
          <w:sz w:val="21"/>
          <w:szCs w:val="21"/>
          <w:lang w:val="en-GB"/>
        </w:rPr>
        <w:t>Power Systems Division (1996-2000, UAE)</w:t>
      </w:r>
      <w:r w:rsidRPr="00F26205">
        <w:rPr>
          <w:rFonts w:asciiTheme="minorHAnsi" w:hAnsiTheme="minorHAnsi" w:cstheme="minorHAnsi"/>
          <w:bCs/>
          <w:sz w:val="21"/>
          <w:szCs w:val="21"/>
          <w:lang w:val="en-GB"/>
        </w:rPr>
        <w:t>.</w:t>
      </w: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</w:pPr>
    </w:p>
    <w:p w:rsidR="00436512" w:rsidRDefault="00436512" w:rsidP="00436512">
      <w:pPr>
        <w:pStyle w:val="BodyText"/>
        <w:tabs>
          <w:tab w:val="right" w:pos="360"/>
        </w:tabs>
        <w:spacing w:before="60"/>
        <w:contextualSpacing/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</w:pPr>
      <w:r w:rsidRPr="001F5B22">
        <w:rPr>
          <w:rFonts w:asciiTheme="minorHAnsi" w:hAnsiTheme="minorHAnsi" w:cstheme="minorHAnsi"/>
          <w:b/>
          <w:color w:val="000000"/>
          <w:sz w:val="21"/>
          <w:szCs w:val="20"/>
          <w:lang w:val="en-GB"/>
        </w:rPr>
        <w:t>Key Projects &amp; Contributions:</w:t>
      </w:r>
    </w:p>
    <w:p w:rsidR="00436512" w:rsidRPr="009653C3" w:rsidRDefault="00436512" w:rsidP="00436512">
      <w:pPr>
        <w:pStyle w:val="BodyText"/>
        <w:numPr>
          <w:ilvl w:val="0"/>
          <w:numId w:val="2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Al Ain Power System Master Plan Study, UAE. </w:t>
      </w:r>
    </w:p>
    <w:p w:rsidR="00436512" w:rsidRPr="009653C3" w:rsidRDefault="00436512" w:rsidP="00436512">
      <w:pPr>
        <w:pStyle w:val="BodyText"/>
        <w:numPr>
          <w:ilvl w:val="0"/>
          <w:numId w:val="2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Ruwais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/</w:t>
      </w: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Zakher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/</w:t>
      </w: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Rameh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220/33 kV and W16 132/11 kV substations, UAE. </w:t>
      </w:r>
    </w:p>
    <w:p w:rsidR="00436512" w:rsidRPr="009653C3" w:rsidRDefault="00436512" w:rsidP="00436512">
      <w:pPr>
        <w:pStyle w:val="BodyText"/>
        <w:numPr>
          <w:ilvl w:val="0"/>
          <w:numId w:val="2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Mirfa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Power/Desalination Plant, 220kV GIS Extension/Al </w:t>
      </w: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Mirfa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/Al Ain 33kV Power Distribution Networks, UAE.</w:t>
      </w:r>
    </w:p>
    <w:p w:rsidR="00436512" w:rsidRPr="009653C3" w:rsidRDefault="00436512" w:rsidP="00436512">
      <w:pPr>
        <w:pStyle w:val="BodyText"/>
        <w:numPr>
          <w:ilvl w:val="0"/>
          <w:numId w:val="3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Shoaiba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, Phase 2 - Power and Desalination Plant, KSA.</w:t>
      </w:r>
    </w:p>
    <w:p w:rsidR="00436512" w:rsidRPr="009653C3" w:rsidRDefault="00436512" w:rsidP="00436512">
      <w:pPr>
        <w:pStyle w:val="BodyText"/>
        <w:numPr>
          <w:ilvl w:val="0"/>
          <w:numId w:val="3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Faisalabad &amp; </w:t>
      </w: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Kotri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Combined Cycle Power Plants, Pakistan.</w:t>
      </w:r>
    </w:p>
    <w:p w:rsidR="00436512" w:rsidRPr="009653C3" w:rsidRDefault="00436512" w:rsidP="00436512">
      <w:pPr>
        <w:pStyle w:val="BodyText"/>
        <w:numPr>
          <w:ilvl w:val="0"/>
          <w:numId w:val="3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Khartoum North Power Station-Phases II&amp; III, 60 MW Extension, Sudan.</w:t>
      </w:r>
    </w:p>
    <w:p w:rsidR="00436512" w:rsidRPr="009653C3" w:rsidRDefault="00436512" w:rsidP="00436512">
      <w:pPr>
        <w:pStyle w:val="BodyText"/>
        <w:numPr>
          <w:ilvl w:val="0"/>
          <w:numId w:val="3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Thames Barrier Control Systems Refurbishment, London. </w:t>
      </w:r>
    </w:p>
    <w:p w:rsidR="00436512" w:rsidRPr="009653C3" w:rsidRDefault="00436512" w:rsidP="00436512">
      <w:pPr>
        <w:pStyle w:val="BodyText"/>
        <w:numPr>
          <w:ilvl w:val="0"/>
          <w:numId w:val="3"/>
        </w:numPr>
        <w:tabs>
          <w:tab w:val="right" w:pos="360"/>
        </w:tabs>
        <w:spacing w:before="60"/>
        <w:contextualSpacing/>
        <w:rPr>
          <w:rFonts w:asciiTheme="minorHAnsi" w:hAnsiTheme="minorHAnsi" w:cstheme="minorHAnsi"/>
          <w:bCs/>
          <w:sz w:val="21"/>
          <w:szCs w:val="21"/>
          <w:lang w:val="en-GB"/>
        </w:rPr>
      </w:pPr>
      <w:proofErr w:type="spellStart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>Banjarmacine</w:t>
      </w:r>
      <w:proofErr w:type="spellEnd"/>
      <w:r w:rsidRPr="009653C3">
        <w:rPr>
          <w:rFonts w:asciiTheme="minorHAnsi" w:hAnsiTheme="minorHAnsi" w:cstheme="minorHAnsi"/>
          <w:bCs/>
          <w:sz w:val="21"/>
          <w:szCs w:val="21"/>
          <w:lang w:val="en-GB"/>
        </w:rPr>
        <w:t xml:space="preserve"> Transmission Line Study Supervisory Control and Data Acquisition, Indonesia. </w:t>
      </w:r>
    </w:p>
    <w:p w:rsidR="00436512" w:rsidRPr="00436512" w:rsidRDefault="00436512">
      <w:pPr>
        <w:rPr>
          <w:lang w:val="en-GB"/>
        </w:rPr>
      </w:pPr>
    </w:p>
    <w:sectPr w:rsidR="00436512" w:rsidRPr="0043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737"/>
    <w:multiLevelType w:val="hybridMultilevel"/>
    <w:tmpl w:val="C93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3D56"/>
    <w:multiLevelType w:val="hybridMultilevel"/>
    <w:tmpl w:val="9DE4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12"/>
    <w:rsid w:val="00436512"/>
    <w:rsid w:val="004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13A2"/>
  <w15:chartTrackingRefBased/>
  <w15:docId w15:val="{33757927-6176-4B71-ABCF-B1F3A367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36512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36512"/>
    <w:rPr>
      <w:rFonts w:ascii="Book Antiqua" w:eastAsia="Times New Roman" w:hAnsi="Book Antiqu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2023-12-15T07:01:00Z</dcterms:created>
  <dcterms:modified xsi:type="dcterms:W3CDTF">2023-12-15T07:02:00Z</dcterms:modified>
</cp:coreProperties>
</file>